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</w:rPr>
        <w:t>JC-HCY-20核磁共振含油率测定仪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专业用于含油作物及其加工物进行油量检测。核磁共振含油检测仪是依照国家标准GB/T15690（油籽含油量核磁共振测定法1995年）研发出来的油量检测设备。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</w:p>
    <w:tbl>
      <w:tblPr>
        <w:tblW w:w="9975" w:type="dxa"/>
        <w:jc w:val="center"/>
        <w:tblInd w:w="11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410"/>
        <w:gridCol w:w="44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441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HCY-10</w:t>
            </w:r>
          </w:p>
        </w:tc>
        <w:tc>
          <w:tcPr>
            <w:tcW w:w="448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HCY-20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测试品种</w:t>
            </w:r>
          </w:p>
        </w:tc>
        <w:tc>
          <w:tcPr>
            <w:tcW w:w="441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大豆、油菜籽、芝麻、玉米、棉籽、葵花籽、花生、小麦、桐籽等油料作物及其饼、粕的含油量</w:t>
            </w:r>
          </w:p>
        </w:tc>
        <w:tc>
          <w:tcPr>
            <w:tcW w:w="448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大豆、油菜籽、芝麻、玉米、棉籽、葵花籽、花生、小麦、桐籽等油料作物及其饼、粕的含油量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特点</w:t>
            </w:r>
          </w:p>
        </w:tc>
        <w:tc>
          <w:tcPr>
            <w:tcW w:w="441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数码管显示，按键操作，人工调节频率</w:t>
            </w:r>
          </w:p>
        </w:tc>
        <w:tc>
          <w:tcPr>
            <w:tcW w:w="448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彩色液晶屏，鼠标+键盘，电脑式操作软件自动进行频率调节，可将数据通过U盘拷出后在电脑中打印结果，软件升级通过U盘升级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技术参数</w:t>
            </w:r>
          </w:p>
        </w:tc>
        <w:tc>
          <w:tcPr>
            <w:tcW w:w="441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试样容积：40ml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测量稳定度：+0.3%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样品含油率范围：0.1%～100%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电源：220V，50HZ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显示精度：+0.3%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功率消耗：≤50W</w:t>
            </w:r>
          </w:p>
        </w:tc>
        <w:tc>
          <w:tcPr>
            <w:tcW w:w="448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试样容积：40ml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测量稳定度：+0.1%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样品含油率范围：0.1%～100%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电源：220V，50HZ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测量准确度：+0.2%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功率消耗：≤40W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效率高：每次对样品测量只需30秒，极大提高了工作效率；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安全、环保：核磁共振法测试只需要消耗40W的电能，仅仅只相当于一个灯泡的能耗，而且不需要别的辅助材料就可以进行，是真正的无损、无污染、低炭、环保的新型设备；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节省费用：投入一台核磁共振油量检测仪，每年可提升产出率10%，可节省大量的水费、电费、乙醚费用、人工费用、抽提仪器费用。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精度高、稳定性好：软件自动进行频率调节，逐步提示指导操作流程，采用频率自锁技术，无需人工调节，操作简便，减少人为误差，提高测量精度；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</w:t>
      </w:r>
      <w:bookmarkStart w:id="0" w:name="_GoBack"/>
      <w:bookmarkEnd w:id="0"/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F3DB"/>
    <w:multiLevelType w:val="singleLevel"/>
    <w:tmpl w:val="11E5F3D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9395212"/>
    <w:rsid w:val="09FB24CA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A46C55"/>
    <w:rsid w:val="2E5E6DB6"/>
    <w:rsid w:val="342226E9"/>
    <w:rsid w:val="34FA1BC4"/>
    <w:rsid w:val="37617CE4"/>
    <w:rsid w:val="37716D1B"/>
    <w:rsid w:val="38C14B71"/>
    <w:rsid w:val="39CC34D1"/>
    <w:rsid w:val="3C6C3AED"/>
    <w:rsid w:val="3D9405C4"/>
    <w:rsid w:val="3F1805FC"/>
    <w:rsid w:val="3F404EC9"/>
    <w:rsid w:val="3FC76B47"/>
    <w:rsid w:val="40A01748"/>
    <w:rsid w:val="40C3615C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B5A567A"/>
    <w:rsid w:val="4BC2275E"/>
    <w:rsid w:val="4E2E4DFB"/>
    <w:rsid w:val="4EEF1699"/>
    <w:rsid w:val="4F2C5B8D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6B26E75"/>
    <w:rsid w:val="57FF6F4B"/>
    <w:rsid w:val="583B005C"/>
    <w:rsid w:val="58BD243F"/>
    <w:rsid w:val="5A7D72C8"/>
    <w:rsid w:val="5AAC36F2"/>
    <w:rsid w:val="5E0D58BF"/>
    <w:rsid w:val="5E4149EF"/>
    <w:rsid w:val="605B7427"/>
    <w:rsid w:val="60B279DD"/>
    <w:rsid w:val="6142172A"/>
    <w:rsid w:val="61F908B6"/>
    <w:rsid w:val="6255577B"/>
    <w:rsid w:val="63565C5C"/>
    <w:rsid w:val="644B5AD1"/>
    <w:rsid w:val="655F3C99"/>
    <w:rsid w:val="67104004"/>
    <w:rsid w:val="67F21169"/>
    <w:rsid w:val="68500542"/>
    <w:rsid w:val="68841DF0"/>
    <w:rsid w:val="695E144A"/>
    <w:rsid w:val="6A6A56A5"/>
    <w:rsid w:val="6DE1500C"/>
    <w:rsid w:val="6DED57D9"/>
    <w:rsid w:val="6E937D8A"/>
    <w:rsid w:val="716B574E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2020-04-09T03:17:26Z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