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C826A"/>
          <w:spacing w:val="0"/>
          <w:sz w:val="36"/>
          <w:szCs w:val="36"/>
          <w:shd w:val="clear" w:fill="FFFFFF"/>
        </w:rPr>
        <w:t>JC-EVA-Plus手持式拉曼光谱识别仪</w:t>
      </w: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571875" cy="2889885"/>
            <wp:effectExtent l="0" t="0" r="952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C826A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C826A"/>
          <w:spacing w:val="0"/>
          <w:sz w:val="24"/>
          <w:szCs w:val="24"/>
          <w:shd w:val="clear" w:fill="FFFFFF"/>
          <w:lang w:val="en-US" w:eastAsia="zh-CN"/>
        </w:rPr>
        <w:t>一、产品介绍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手持式拉曼光谱识别仪采用785nm激光拉曼光谱分析技术，能对各种化学战剂、毒品及易制化学品、爆炸品及其他危险化学品、珠宝玉石、原辅料药等物品进行快速检测和准确识别，仪器可在保证不损害被测样品完整性的情况下，检测液体和固体状态的样品，明确给出被测物质的具体名称、物质属性和谱图，并生成PDF报告，整个过程几秒内完成。结合最新的拉曼增强芯片,可对食品中的多种非法添加物和农兽药残留等进行快速检测，满足现场使用要求。其设计紧凑，结构简单，性价比高。产品内置专业的智能识别软件，集成个性化软件交互界面，集成了最先进的智能解谱和光谱分析算法，其软件设计操作简便，可一键采集和分析，单手即可完成全部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●无损、快速检测和识别，一键操作；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●安全无辐射，采用785nm红外光源，功率大小软件可调；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●准确给出被测物质的海关编码、类别和化学成分等信息；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●不直接接触样品，可透过玻璃、塑封袋、饮料瓶等透明、半透明容器检测；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●改进的自动混合分析算法，可对混合物进行检测和识别；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●分辨率高，指纹特异性好，每种分子都有自己独特的拉曼光谱，易于提取特征峰；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●仪器具有多种测量模式，如快检模式和精检模式进行物质识别；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●拥有多种光谱匹配识别算法，如HQI和特征峰匹配，满足多种应用场景需求；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●检测结果可以生成 PDF 报告，并可导出查看；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●系统内置4G、GPS、GPRS、Bluetooth、WI-FI等多种通讯方式。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val="en-US" w:eastAsia="zh-CN"/>
        </w:rPr>
        <w:t>产品参数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参数指标：</w:t>
      </w:r>
    </w:p>
    <w:tbl>
      <w:tblPr>
        <w:tblStyle w:val="7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物理参数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EVA3000PLUS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整机尺寸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180*95*38mm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整机重量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输出接口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Micro USB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性能参数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光谱范围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200cm-1~3200cm-1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波长分辨率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7cm-1@1000cm-1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激发波长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785±0.5nm，线宽&lt;0.1nm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激光器使用寿命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10000.00hrs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电源电压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DC5V电适配器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输出功率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0~500mw可调（自适应）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积分时间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1ms-10s（自适应）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滤光片激光截止深度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探头工作焦距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摄像头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800万像素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触摸屏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720*1280分辨率电容屏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三防标准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网络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4G/WIFI/蓝牙/GPS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工作/储存温度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0~45℃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工作/储存湿度</w:t>
            </w:r>
          </w:p>
        </w:tc>
        <w:tc>
          <w:tcPr>
            <w:tcW w:w="42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5%~80%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C826A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C826A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C826A"/>
          <w:spacing w:val="0"/>
          <w:sz w:val="24"/>
          <w:szCs w:val="24"/>
          <w:shd w:val="clear" w:fill="FFFFFF"/>
          <w:lang w:val="en-US" w:eastAsia="zh-CN"/>
        </w:rPr>
        <w:t>三、产品特点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拉曼在珠宝鉴别中的应用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随着科技的进步，珠宝合成技术已经日趋成熟，对于从事珠宝交易和检测的人员来说，无形中加大了检测和鉴别珠宝真伪，档次，品级的难度。在以往的珠宝鉴定工作中，主要运用宝石显微镜和折光仪来检测等工具，这些工具主要根据矿物质的光学性质来对珠宝做定性认识和鉴定。但是由于一些种类不同的宝石具有非常相似的光性，这就使得通常的方法无法准确鉴定区别真假珠宝，再加上珠宝合成技术和优化处理技术的高速发展，使得合成珠宝与天然珠宝的区分难度越来越大。拉曼光谱是物质分子振动所发生的的一种散射光谱，通过对珠宝拉曼光谱分分析可知道珠宝内部分子振动转动能级情况，从而可以鉴别和分析珠宝的类别、品级和真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6850" cy="2209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手持拉曼在原辅料鉴别中的应用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在制药领域，成品药、原辅料药及其包装材料的鉴定或验证工作至关重要，其快速检测领域主要是样品的光谱鉴定或验证。《药品生产质量管理规范(2010版) 》明确规定应当制定相应的操作规程，采取核对或检验等适当措施，确认每一包装内的原辅料正确无误。新版GMP在原辅料鉴别中建议，确保物料原包装的内容与标识一致，是物料入库接收时的重要控制目标，基于生产实际控制需要， 企业可基于风险控制的原则， 采取一种或多种手段以保证物料的正确性。目前整个行业普遍还无法做到按生产质量管理规范（GMP）要求对购入原辅料的每一个最小包装进行鉴别，法规依从性差，只能通过抽样检测和送到实验室鉴别，目前大多数药厂均采用中红外光谱，需要样品前处理，时间周期较长。拉曼光谱线边检测技术，具有快速、无损、非接触式、免拆包装直接测量，使得最小包装全检成为可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57800" cy="2828925"/>
            <wp:effectExtent l="0" t="0" r="0" b="9525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手持拉曼在食品安全检测中的应用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当今世界食品安全题目发生频繁，越来越复杂，危害性也越来越大，食品安全事关国计民生。近年来，三聚氰胺事件、苏丹红事件、瘦肉精事件、地沟油事件等食品安全问题频发，严重影响了我国食品业的发展。常规的实验室检测方法由于数量少、成本高、检测周期长，无法满足大量频繁的现场、快速检测的需求。这使得有害非法添加物的快速检测需求不断增大，发展快速、正确的有害非法添加物检测技术已成为当务之急。拉曼光谱法作为一种快速、无损、安全的检测技术，具有快速正确、重现性好、样品前处理简单、紧凑便携、适用广泛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特点，结合专用的表面拉曼增强试剂和简易的样品前处理设备，能够简单、精准、高效地检测食品中的非法/滥用添加剂、农药/兽药残留、掺假有害物、有毒化学品等项目的检测。如三聚氰胺、孔雀石绿、苏丹红、瘦肉精等进行检测，检测的浓度可达1ppm，部分检测项目的浓度可达10ppb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162550" cy="2667000"/>
            <wp:effectExtent l="0" t="0" r="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C826A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C826A"/>
          <w:spacing w:val="0"/>
          <w:sz w:val="24"/>
          <w:szCs w:val="24"/>
          <w:shd w:val="clear" w:fill="FFFFFF"/>
          <w:lang w:val="en-US" w:eastAsia="zh-CN"/>
        </w:rPr>
        <w:t>四、产品配置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配件清单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7"/>
        <w:tblW w:w="55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2294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标配</w:t>
            </w: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主机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JC-EVA-Plus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适配器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5V/2A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选配</w:t>
            </w: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固体测量支架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SH-RAM-FFP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粉末测量支架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SA-RAM-FS-V2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液体测量支架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SH-721C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可微调液体测量支架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SH-LQD-ADJ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1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石英比色皿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CVT-721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操作软件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配套的操作软件是集光谱采集、数据分析、用户管理和数据库管理为一体的嵌入式拉曼光谱仪分析软件。 </w:t>
      </w: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344670" cy="2898140"/>
            <wp:effectExtent l="0" t="0" r="17780" b="1651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b="10938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-5302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！</w:t>
      </w:r>
    </w:p>
    <w:p>
      <w:pP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 黑体 新宋体 arial unicode m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墨字体 Std W9">
    <w:panose1 w:val="040B0900000000000000"/>
    <w:charset w:val="86"/>
    <w:family w:val="auto"/>
    <w:pitch w:val="default"/>
    <w:sig w:usb0="A00002BF" w:usb1="38CF7CFA" w:usb2="00000016" w:usb3="00000000" w:csb0="0004000D" w:csb1="00000000"/>
  </w:font>
  <w:font w:name="华康正颜楷体 Std W7">
    <w:panose1 w:val="03000700000000000000"/>
    <w:charset w:val="86"/>
    <w:family w:val="auto"/>
    <w:pitch w:val="default"/>
    <w:sig w:usb0="A00002BF" w:usb1="38CF7CFA" w:usb2="00000016" w:usb3="00000000" w:csb0="0004000D" w:csb1="00000000"/>
  </w:font>
  <w:font w:name="华康翩翩体 Std W5">
    <w:panose1 w:val="03000500000000000000"/>
    <w:charset w:val="86"/>
    <w:family w:val="auto"/>
    <w:pitch w:val="default"/>
    <w:sig w:usb0="A00002BF" w:usb1="38CF7CFA" w:usb2="00000016" w:usb3="00000000" w:csb0="0004000D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51D1"/>
    <w:multiLevelType w:val="singleLevel"/>
    <w:tmpl w:val="336C51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14824"/>
    <w:rsid w:val="39DE268E"/>
    <w:rsid w:val="471521BA"/>
    <w:rsid w:val="5B443B9A"/>
    <w:rsid w:val="775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钮钴禄萱儿</cp:lastModifiedBy>
  <dcterms:modified xsi:type="dcterms:W3CDTF">2020-08-04T08:49:15Z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