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JC-TY04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科研级全项目土壤养分测定仪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7820"/>
            <wp:effectExtent l="0" t="0" r="1905" b="11430"/>
            <wp:docPr id="14" name="图片 14" descr="C:\Users\Administrator\Desktop\cod101\1558748565 (1).jpg155874856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8748565 (1).jpg1558748565 (1)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7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shd w:val="clear" w:fill="FFFFFF"/>
          <w:lang w:val="en-US" w:eastAsia="zh-CN" w:bidi="ar"/>
        </w:rPr>
        <w:t>一、产品介绍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功能多、测试项目齐全：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1、土壤养分：▲铵态氮、硝态氮、速效磷、速效钾、有机质、全氮、pH值、水份、碱解氮等九项；▲中微量元素：钙、镁、硫、铁、锰、硼、锌、铜、氯、硅等。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肥料养分：▲单质化肥中的氮、磷、钾；▲复（混）合肥及尿素中的铵态氮、硝态氮、磷、钾、缩二脲；▲有机肥中速效氮、速效磷、速效钾、全氮、全磷、全钾、有机质，各种腐植酸、微量元素（钙、镁、硫、铁、锰、硼、锌、铜、氯、硅）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3、植株养分：▲植株中的氮素、磷素、钾素；硝酸盐、亚硝酸盐；钙、镁、硫、铁、锰、硼、锌、铜、氯、硅等项。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4、烟叶养分：全氮、全磷、全钾、还原糖、水溶性总糖、硼、锰、铁、铜、钙、镁等20项。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5、土壤、肥料重金属：铅、铬、镉、砷、汞等近十种重金属。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6、食品(水果、蔬菜等):硝酸盐、亚硝酸盐、重金属(铅、铬、镉、砷、汞)等项。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7、水质：▲铵态氮、硝酸盐、亚硝酸盐、磷、钾、硬度、PH、铁、铜、锰、锌、硼、氯、硫、硅等。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1、电源：交流220±22V  直流12V+5V（可用车载电源也可选择仪器内置锂电池）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2、功率：≤5W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3、量程及分辨率：0.001-9999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4、重复性误差：≤0.05%（0.0005，重铬酸钾溶液）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仪器稳定性：一个小时内漂移小于0.2%（0.003，透光度测量）。仪器开机预热5分钟后，三十分钟内显示数字无漂移（透光度测量）；一个小时内数字漂移不超过0.2%（透光度测量）、0.001（吸光度测量）；两个小时内数字漂移不超过0.3%（0.003，透光度测量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6、线性误差：≤0.2%（0.002，硫酸铜检测）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7、灵敏度：红光≥4.5 ×10-5   蓝光≥3.17×10-3   绿光≥2.35×10-3    橙光≥2.13×10-3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8、波长范围：红光：680±2nm; 蓝光：420±2nm;绿光：510±2nm；橙光：590±4nm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9、PH值（酸碱度）：(1)测试范围：1～14 （2）精度：0.01  (3)误差：±0.1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10、含盐量（电导）：(1)测试范围：0.01%～1.00% (2)相对误差：±5%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11、土壤水分技术参数水分单位：﹪（g／100g）；含水率测试范围：0-100﹪；误差小于0.5%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12、土壤中速效N、P、K三种养分一次性同时浸提测定、科学推荐施肥量（农业部速测行业标准起草者）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13、肥料中氮（N）、磷（P）、钾（K）等养分同时、快速、准确检测（发明专利技术）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14、测试速度：测一个土样（N、P、K）≤30分钟（含前处理时间，不需用户提供任何附件）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15、同时测8个土样≤1小时（含前处理时间）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16、数据打印：内置高档一键式热敏打印机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17、测一个土壤样品（N、P、K）≤30分钟，同时检测三个土壤样品（N、P、K）≤40分钟；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18、测试一个肥料样（N、P、K）≤50分钟，同时检测三个肥料样品（N、P、K）≤1.5小时。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18"/>
          <w:szCs w:val="18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1、微电脑控制，数字化线路、程序化设计，液晶显示，交直流两用，可野外流动测试，大程度降低操作者的失误和劳动强度。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2、分辨率：0.001，触摸式按键，内置高档热敏打印机，可打印测试结果。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3、全项目土壤肥料养分检测仪可检测土壤及化肥、有机肥（含叶面肥、水溶肥、喷施肥等）、植株中的速效氮、速效磷、有效钾、全氮、全磷、全钾、有机质、酸碱度，钙、镁、硫、铁、锰、硼、锌、铜、氯、硅等各种中微量元素以及铅、铬、镉、汞、砷等各种重金属含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4、独家采用高亮LED灯光源、双拨轮滤光式处理技术，保证光源波长稳定， 硅半导体作为信号接收系统， 寿命长达10万小时级别。光源稳定，重现性好，准确度高。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5、比色槽部分采用单通道设计，无机械位移及磨损，光路测试定位精确，保证测定结果精度。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6、配套专家施肥系统数据，可对百余种全国农业、果树、 经济作物的目标产量科学计算推荐施肥量。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7、采用自主发明专利分析方法，保证检测结果绝对达到国标要求。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8、功能全：测试项目全（各类药剂均可选购）。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9、配套齐全：该仪器集药、器、仪为一体，携带方便，相当于一个小型实验室。适于农业服务部门或农资经销商、肥料厂商测土施肥和鉴别肥料真假。</w:t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10、操作简便、速度快捷，成品药剂开瓶即用，无须配置，无需用户准备任何附件。</w:t>
      </w:r>
    </w:p>
    <w:tbl>
      <w:tblPr>
        <w:tblW w:w="9046" w:type="dxa"/>
        <w:jc w:val="center"/>
        <w:tblInd w:w="58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1"/>
        <w:gridCol w:w="2630"/>
        <w:gridCol w:w="1052"/>
        <w:gridCol w:w="841"/>
        <w:gridCol w:w="2375"/>
        <w:gridCol w:w="133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49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05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仪  器   箱</w:t>
            </w:r>
          </w:p>
        </w:tc>
        <w:tc>
          <w:tcPr>
            <w:tcW w:w="455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 w:firstLine="1260"/>
              <w:jc w:val="left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药  品  箱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        称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名        称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数量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主机(内置打印机)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1台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01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测定试剂一套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333333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见配置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比色皿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02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三角瓶100ml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电子天平（200g/0.01g）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03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容量瓶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熔断器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2个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04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洗瓶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刻度吸管1、5、10ml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各1支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05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角勺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1套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吸球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06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定性滤纸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2盒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小铝盒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07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3mL吸管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12支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主机电源线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1根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08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量筒（50mL）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直流12V线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1根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09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反应试管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30个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1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63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说明书、合格证</w:t>
            </w:r>
          </w:p>
        </w:tc>
        <w:tc>
          <w:tcPr>
            <w:tcW w:w="10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1套</w:t>
            </w:r>
          </w:p>
        </w:tc>
        <w:tc>
          <w:tcPr>
            <w:tcW w:w="84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23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试管架</w:t>
            </w:r>
          </w:p>
        </w:tc>
        <w:tc>
          <w:tcPr>
            <w:tcW w:w="13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top"/>
          </w:tcPr>
          <w:p>
            <w:pPr>
              <w:pStyle w:val="7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60" w:lineRule="atLeast"/>
              <w:ind w:left="0" w:right="0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rFonts w:hint="eastAsia" w:ascii="微软雅黑" w:hAnsi="微软雅黑" w:eastAsia="微软雅黑" w:cs="微软雅黑"/>
                <w:color w:val="080808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1个</w:t>
            </w:r>
          </w:p>
        </w:tc>
      </w:tr>
    </w:tbl>
    <w:p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59E272B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3922DF7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139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2020-04-08T05:12:31Z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