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eastAsia" w:ascii="微软雅黑" w:hAnsi="微软雅黑" w:eastAsia="微软雅黑" w:cs="微软雅黑"/>
          <w:i w:val="0"/>
          <w:caps w:val="0"/>
          <w:color w:val="0B876F"/>
          <w:spacing w:val="0"/>
          <w:sz w:val="24"/>
          <w:szCs w:val="24"/>
          <w:bdr w:val="none" w:color="auto" w:sz="0" w:space="0"/>
          <w:shd w:val="clear" w:fill="FFFFFF"/>
        </w:rPr>
      </w:pPr>
      <w:bookmarkStart w:id="0" w:name="_GoBack"/>
      <w:r>
        <w:rPr>
          <w:rStyle w:val="9"/>
          <w:rFonts w:hint="eastAsia" w:ascii="微软雅黑" w:hAnsi="微软雅黑" w:eastAsia="微软雅黑" w:cs="微软雅黑"/>
          <w:i w:val="0"/>
          <w:caps w:val="0"/>
          <w:color w:val="0B876F"/>
          <w:spacing w:val="0"/>
          <w:sz w:val="24"/>
          <w:szCs w:val="24"/>
          <w:bdr w:val="none" w:color="auto" w:sz="0" w:space="0"/>
          <w:shd w:val="clear" w:fill="FFFFFF"/>
        </w:rPr>
        <w:t>GDYQ-900M多功能食品安全快检系统</w:t>
      </w:r>
    </w:p>
    <w:bookmarkEnd w:id="0"/>
    <w:p>
      <w:pPr>
        <w:rPr>
          <w:rStyle w:val="9"/>
          <w:rFonts w:hint="eastAsia" w:ascii="微软雅黑" w:hAnsi="微软雅黑" w:eastAsia="微软雅黑" w:cs="微软雅黑"/>
          <w:i w:val="0"/>
          <w:caps w:val="0"/>
          <w:color w:val="000000" w:themeColor="text1"/>
          <w:spacing w:val="0"/>
          <w:sz w:val="24"/>
          <w:szCs w:val="24"/>
          <w:shd w:val="clear" w:fill="FFFFFF"/>
          <w:lang w:val="en-US" w:eastAsia="zh-CN"/>
          <w14:textFill>
            <w14:solidFill>
              <w14:schemeClr w14:val="tx1"/>
            </w14:solidFill>
          </w14:textFill>
        </w:rPr>
      </w:pPr>
      <w:r>
        <w:rPr>
          <w:rStyle w:val="9"/>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适用于食品药品监管、大型商超、集体食堂、食用农产品加工和销售等部门，用于对农副产品、水产品、畜禽产品、化妆品、药品和保健食品等样品进行现场快速检测。</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（一） 化学分光比色分析模块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光源系统：采用全固态结构，光路无可动部件，结构简单，抗干扰、抗振动、抗潮性能强，检测精度高；具有光源自动开关节能功能，光源使用寿命达10万小时以上。</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波长范围：300 nm~800 nm，仪器开机自校准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波长重复性：≤2.0 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波长示值误差：≤±10.0 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稳定性：≤0.010/30 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（二） 酶抑制分析模块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检测原理：采用酶抑制法实现对有机磷和氨基甲酸酯类农药残留的快速检测，方法符合《GB/T 5009.199-2003 蔬菜中有机磷和氨基甲酸酯类农药残留量的快速检测》、《NY/T 448-2001 蔬菜上有机磷和氨基甲酸酯类农药残毒快速检测方法》和《蔬菜中敌百虫、丙溴磷、灭多威、克百威、敌敌畏残留的快速检测（KJ201710）》。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检测下限：0.01 mg/kg~3.0 mg/kg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波长重复性：≤2.0 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波长示值误差：≤±10.0 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稳定性：≤0.010/30 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（三） 胶体金免疫层析/干化学分析模块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检测项目：适用于盐酸克伦特罗、莱克多巴胺、沙丁胺醇、氯霉素、磺胺类等兽药残留项目的检测。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光学传感器：采用线阵式处理技术，先进的扫描式读取数据。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检测方式：软件可自定义识别CT 线，并精准识别出CT线峰值位置及高度。软件支持CT线宽及线间距设定，并可实时显示检测曲线。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（四） 薄层色谱分析模块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检测项目：适用于蔬菜水果中的菊酯类、有机氯类、有机磷类、氨基甲酸酯类和三氯杀螨醇等农药残留的检测，单次检测可识别多种样品中的多种农药，如菊酯类（溴氰菊酯、氯菊酯、联苯菊酯、甲氰菊酯等）、有机氯类和三氯杀螨醇类等。同时可实现食品中易滥用食品添加剂（山梨酸钾和脱氢乙酸等），甜味剂（安赛蜜、糖精钠）、合成色素（柠檬黄、日落黄、胭脂红、苋菜红、诱惑红和亮蓝等）等项目的快速检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结果输出：成像斑点以谱图形式输出，同时将检测结果以数字化形式显示，并可根据内置国标参考限值自动判断检测结果。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（五） ATP荧光分析模块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适用范围：适用于食品、餐具和手等表面洁净度的检测。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检测精密度：2×10-18 mol ATP</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检测精密：≤1 RLU（相对发光单位）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检测时间：≤15 秒</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准确度误差：±5%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软件系统</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软件兼容性：可与系统软件接口进行无缝对接，实现样品信息和检测数据的自动上传。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数据采集分析：在各检测模块的样品测量界面可自动完成检测数据的采集，并根据内置的限量标准自动分析处理，判断检测结果，自动生成检测报表；软件可自动诊断系统故障。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管理功能：软件可实现对检测系统的全方位管理，包含项目选择管理、样品检测管理、样品信息管理、限量标准库管理、记录报告管理、参数设置管理和系统管理等。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模块管理：各检测模块采用独立的操作界面，可实现样品编号、样品名称、被检测单位、检测时间、检测机构、检测人员和检测地点等信息的输入。</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存储功能：软件可存储10万条以上的检测数据，各模块检测数据均可在统一的数据库内或各检测模块独立数据库下进行查询，并实现数据打印、导出和上传等管理，导出数据为EXCEL格式。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 结果判断：仪器内置各检测指标国标限量值，可根据选定的检测项目对检测结果进行自动判定。</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 设备编号：每台设备均具备唯一的出厂编号。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 操作指导：软件内置操作视频和操作使用说明，方便用户参考、学习。</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检测模块：仪器集化学分光比色、胶体金免疫层析、干化学、酶抑制、薄层色谱、ATP荧光和滴定等多种检测模块于一体。</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箱体设计：箱体为高抗冲击的高分子聚合ABS材料，采用手提式设计，仪器主机与箱体一体化设计，具有抗震抗压和电磁屏蔽性。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显示系统：彩色触摸屏，显示屏分辨率1024×768像素。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存储系统：仪器配备硬盘，满足大量数据存储需求。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通信系统：仪器通过wifi等通信模块实现无线上网和数据传输功能。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 数据接口：具有USB接口和以太网接口。</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 打印系统：内置高速热敏打印机，可打印样品编号、检测日期、浓度和检测结果及单位等信息。仪器可连接外置打印机，自动生成和打印检测报告。</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 供电系统：交直流两用供电系统。内置锂电池，可连续使用4小时以上。</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 操作系统：windows操作系统，各检测模块采用独立的操作界面，方便查找检测项目；系统内置扬声器，方便播放影音文件。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 软件升级：仪器设备支持远程升级，同时也可通过外接U盘对系统和检测项目进行升级。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4D5D9C"/>
    <w:rsid w:val="06E44FA3"/>
    <w:rsid w:val="0A0461D1"/>
    <w:rsid w:val="0B05699A"/>
    <w:rsid w:val="0EE55868"/>
    <w:rsid w:val="11BA6177"/>
    <w:rsid w:val="14B5501D"/>
    <w:rsid w:val="18C104DD"/>
    <w:rsid w:val="1CB40490"/>
    <w:rsid w:val="1E8E1D5C"/>
    <w:rsid w:val="204047D9"/>
    <w:rsid w:val="251F6D09"/>
    <w:rsid w:val="25B65147"/>
    <w:rsid w:val="28000D71"/>
    <w:rsid w:val="2A9E4E0F"/>
    <w:rsid w:val="3307123B"/>
    <w:rsid w:val="342226E9"/>
    <w:rsid w:val="37716D1B"/>
    <w:rsid w:val="38C14B71"/>
    <w:rsid w:val="3C665050"/>
    <w:rsid w:val="3E1265A1"/>
    <w:rsid w:val="40C3615C"/>
    <w:rsid w:val="41260601"/>
    <w:rsid w:val="417620C0"/>
    <w:rsid w:val="42E365F4"/>
    <w:rsid w:val="435D7125"/>
    <w:rsid w:val="45475EEF"/>
    <w:rsid w:val="45B91870"/>
    <w:rsid w:val="462B594E"/>
    <w:rsid w:val="46716EB1"/>
    <w:rsid w:val="4A3C534C"/>
    <w:rsid w:val="4B362F3E"/>
    <w:rsid w:val="4BC2275E"/>
    <w:rsid w:val="4CF2502A"/>
    <w:rsid w:val="4E2E4DFB"/>
    <w:rsid w:val="4F91277F"/>
    <w:rsid w:val="502F19F8"/>
    <w:rsid w:val="54D97162"/>
    <w:rsid w:val="55744786"/>
    <w:rsid w:val="5599449D"/>
    <w:rsid w:val="58BD243F"/>
    <w:rsid w:val="6255577B"/>
    <w:rsid w:val="64485956"/>
    <w:rsid w:val="67A51175"/>
    <w:rsid w:val="695E144A"/>
    <w:rsid w:val="6A6A56A5"/>
    <w:rsid w:val="6AB20F67"/>
    <w:rsid w:val="6D494FEA"/>
    <w:rsid w:val="6DED57D9"/>
    <w:rsid w:val="6E937D8A"/>
    <w:rsid w:val="70DD3AF1"/>
    <w:rsid w:val="733D1C5A"/>
    <w:rsid w:val="734D08F8"/>
    <w:rsid w:val="74FB6288"/>
    <w:rsid w:val="75EB42CE"/>
    <w:rsid w:val="766C3FDC"/>
    <w:rsid w:val="7AA33437"/>
    <w:rsid w:val="7ABD1CC3"/>
    <w:rsid w:val="7C444F3D"/>
    <w:rsid w:val="7DD25922"/>
    <w:rsid w:val="7E0C560F"/>
    <w:rsid w:val="7E14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钮钴禄萱儿</cp:lastModifiedBy>
  <cp:lastPrinted>2020-06-28T06:47:00Z</cp:lastPrinted>
  <dcterms:modified xsi:type="dcterms:W3CDTF">2020-09-02T10:15:32Z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