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JC-NL01</w:t>
      </w:r>
      <w:r>
        <w:rPr>
          <w:rFonts w:hint="default"/>
          <w:lang w:val="en-US" w:eastAsia="zh-CN"/>
        </w:rPr>
        <w:t>年轮分析系统</w:t>
      </w:r>
      <w:bookmarkEnd w:id="0"/>
    </w:p>
    <w:p>
      <w:pPr>
        <w:numPr>
          <w:ilvl w:val="0"/>
          <w:numId w:val="1"/>
        </w:numPr>
        <w:rPr>
          <w:rStyle w:val="14"/>
          <w:rFonts w:hint="default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4"/>
          <w:rFonts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  <w:t>产品介绍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JC-NL01年轮图象分析系统是一款多平台图象分析系统，与扫描仪匹配，专门对盘状的木材截面或柱状的生长锥样本进行树木年轮的测量。广泛应用于植物学、植物生理学、林学、树木学、森林生态学等领域。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大型木材样本可在不同部位多次分别成像；特殊的树芯定位器用以放置柱状样本；两种自动测定年轮的方法分别适用于不同的树木类型；人工辅助的图像识别校正和遗漏像素添加功能；可利用木材薄片的 X 光胶片扫描进行木材密度测定( 密度版)。此外，JC-NL01可自动设置裂缝与年轮角度的切线，以保证测量的精准性；另外，附加 XLSTEM 可进行植物的标准生长分析，如茎干平均半径、直径以及总体截面积；树木高度、体积、树龄等。对于所分析的年轮图像可同时显示如下参数：年轮宽度、早材/夏材宽度、年轮最大/最小密度/平均密度、早材/夏材平均密度（高级密度版）等。</w:t>
      </w:r>
    </w:p>
    <w:p>
      <w:pPr>
        <w:rPr>
          <w:rFonts w:hint="default"/>
          <w:lang w:val="en-US" w:eastAsia="zh-CN"/>
        </w:rPr>
      </w:pPr>
      <w:r>
        <w:rPr>
          <w:rStyle w:val="14"/>
          <w:rFonts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  <w:t>二、</w:t>
      </w:r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测量</w:t>
      </w:r>
      <w:r>
        <w:rPr>
          <w:rStyle w:val="14"/>
          <w:rFonts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  <w:t>参数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年轮基本测量参数：年轮计数，年轮环宽度，早材/晚材宽度，年轮环角度（弧度）等。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年轮密度测量参数：年轮平均密度，早材平均密度 ，晚材平均密度，年轮环晚材最大密度 ，年轮环早材最大密度 。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树木圆盘测量参数：圆盘面积，周长，平均直径，形状因子，孔隙面积，年轮技术等。</w:t>
      </w:r>
    </w:p>
    <w:p>
      <w:pPr>
        <w:numPr>
          <w:numId w:val="0"/>
        </w:numPr>
        <w:ind w:leftChars="0"/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三、应用领域</w:t>
      </w:r>
    </w:p>
    <w:p>
      <w:pPr>
        <w:numPr>
          <w:numId w:val="0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广泛应用于植物学、植物生理学、林学、树木学、森林生态学等领域。 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四、产品参数</w:t>
      </w:r>
    </w:p>
    <w:p>
      <w:pPr>
        <w:numPr>
          <w:numId w:val="0"/>
        </w:numPr>
        <w:ind w:leftChars="0"/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numId w:val="0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5806440" cy="7054850"/>
            <wp:effectExtent l="0" t="0" r="3810" b="12700"/>
            <wp:docPr id="4" name="图片 6" descr="截图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截图00.png"/>
                    <pic:cNvPicPr>
                      <a:picLocks noChangeAspect="1"/>
                    </pic:cNvPicPr>
                  </pic:nvPicPr>
                  <pic:blipFill>
                    <a:blip r:embed="rId12"/>
                    <a:srcRect t="2998"/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7054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选购指南：</w:t>
      </w:r>
    </w:p>
    <w:p>
      <w:pPr>
        <w:numPr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系统由以下两部分组成：</w:t>
      </w:r>
    </w:p>
    <w:p>
      <w:pPr>
        <w:numPr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图像扑捉系统：经过厂家调试的标准年轮样本扫描设备，生长锥定位器等。</w:t>
      </w:r>
    </w:p>
    <w:p>
      <w:pPr>
        <w:numPr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·   STD4800：扫描面积 22×30 cm，投影面积 20×25 cm，分辨率 4800 DPI，可分辨最小粒子 0.005 mm</w:t>
      </w:r>
    </w:p>
    <w:p>
      <w:pPr>
        <w:numPr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·   LA2400：超大扫描面积 31×44 cm，投影面积 31×42 cm，分辨率 2400 DPI，可分辨最小粒子 0.011 mm</w:t>
      </w:r>
    </w:p>
    <w:p>
      <w:pPr>
        <w:numPr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年轮分析软件：基本版 /标准版 LY-NL02分析软件。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ring Boron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汉仪中黑简">
    <w:altName w:val="黑体"/>
    <w:panose1 w:val="02010600000101010101"/>
    <w:charset w:val="86"/>
    <w:family w:val="modern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8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08E34E"/>
    <w:multiLevelType w:val="singleLevel"/>
    <w:tmpl w:val="4308E3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NzVhNjAyMDU5YWUwZWRhNWNkYzYwOTJhYmM2MWUifQ=="/>
  </w:docVars>
  <w:rsids>
    <w:rsidRoot w:val="00172A27"/>
    <w:rsid w:val="00E162EC"/>
    <w:rsid w:val="0585332F"/>
    <w:rsid w:val="076765A3"/>
    <w:rsid w:val="0D4026D4"/>
    <w:rsid w:val="113E1EAA"/>
    <w:rsid w:val="11BA6177"/>
    <w:rsid w:val="13260CCC"/>
    <w:rsid w:val="1342392C"/>
    <w:rsid w:val="138C1472"/>
    <w:rsid w:val="14B5501D"/>
    <w:rsid w:val="14FA3E27"/>
    <w:rsid w:val="180633CC"/>
    <w:rsid w:val="1862423A"/>
    <w:rsid w:val="1C945C8C"/>
    <w:rsid w:val="1E7C7A0C"/>
    <w:rsid w:val="1E8E1D5C"/>
    <w:rsid w:val="202D3DD2"/>
    <w:rsid w:val="204047D9"/>
    <w:rsid w:val="251F6D09"/>
    <w:rsid w:val="2A6853EB"/>
    <w:rsid w:val="2B5434B0"/>
    <w:rsid w:val="2D2110BC"/>
    <w:rsid w:val="2F5F7E4D"/>
    <w:rsid w:val="2FDD1244"/>
    <w:rsid w:val="303811D3"/>
    <w:rsid w:val="30B00F0D"/>
    <w:rsid w:val="312766E9"/>
    <w:rsid w:val="34147CA6"/>
    <w:rsid w:val="342226E9"/>
    <w:rsid w:val="36657834"/>
    <w:rsid w:val="37112709"/>
    <w:rsid w:val="37716D1B"/>
    <w:rsid w:val="38C14B71"/>
    <w:rsid w:val="3AAF2BCB"/>
    <w:rsid w:val="40C3615C"/>
    <w:rsid w:val="417620C0"/>
    <w:rsid w:val="45475EEF"/>
    <w:rsid w:val="46716EB1"/>
    <w:rsid w:val="473B61C1"/>
    <w:rsid w:val="4AE84614"/>
    <w:rsid w:val="4B7C4203"/>
    <w:rsid w:val="4BC2275E"/>
    <w:rsid w:val="4CB51464"/>
    <w:rsid w:val="4E2E4DFB"/>
    <w:rsid w:val="4F91277F"/>
    <w:rsid w:val="5027396F"/>
    <w:rsid w:val="502F19F8"/>
    <w:rsid w:val="545A5D54"/>
    <w:rsid w:val="55744786"/>
    <w:rsid w:val="58BD243F"/>
    <w:rsid w:val="5AAC36F2"/>
    <w:rsid w:val="5B120219"/>
    <w:rsid w:val="5D1B28AE"/>
    <w:rsid w:val="6255577B"/>
    <w:rsid w:val="655F3C99"/>
    <w:rsid w:val="661D73DF"/>
    <w:rsid w:val="695E144A"/>
    <w:rsid w:val="6A6A56A5"/>
    <w:rsid w:val="6D327B8F"/>
    <w:rsid w:val="6DED57D9"/>
    <w:rsid w:val="6E937D8A"/>
    <w:rsid w:val="733D1C5A"/>
    <w:rsid w:val="766C3FDC"/>
    <w:rsid w:val="783C16CD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unhideWhenUsed/>
    <w:qFormat/>
    <w:uiPriority w:val="99"/>
    <w:pPr>
      <w:spacing w:after="120"/>
    </w:pPr>
  </w:style>
  <w:style w:type="paragraph" w:styleId="6">
    <w:name w:val="Body Text Indent"/>
    <w:basedOn w:val="1"/>
    <w:autoRedefine/>
    <w:qFormat/>
    <w:uiPriority w:val="0"/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autoRedefine/>
    <w:qFormat/>
    <w:uiPriority w:val="0"/>
    <w:pPr>
      <w:suppressAutoHyphens/>
      <w:autoSpaceDN w:val="0"/>
      <w:adjustRightInd/>
      <w:spacing w:after="120"/>
      <w:ind w:left="420" w:leftChars="200" w:firstLine="420" w:firstLineChars="200"/>
    </w:pPr>
    <w:rPr>
      <w:rFonts w:ascii="Arial" w:hAnsi="Arial" w:eastAsia="宋体"/>
      <w:kern w:val="3"/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6">
    <w:name w:val="font91"/>
    <w:basedOn w:val="13"/>
    <w:autoRedefine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17">
    <w:name w:val="Pa0"/>
    <w:basedOn w:val="1"/>
    <w:next w:val="1"/>
    <w:autoRedefine/>
    <w:qFormat/>
    <w:uiPriority w:val="0"/>
    <w:pPr>
      <w:autoSpaceDE w:val="0"/>
      <w:autoSpaceDN w:val="0"/>
      <w:adjustRightInd w:val="0"/>
      <w:spacing w:line="191" w:lineRule="atLeast"/>
      <w:jc w:val="left"/>
    </w:pPr>
    <w:rPr>
      <w:rFonts w:ascii="Boring Boron" w:eastAsia="Boring Boron"/>
      <w:kern w:val="0"/>
      <w:sz w:val="24"/>
    </w:rPr>
  </w:style>
  <w:style w:type="character" w:customStyle="1" w:styleId="18">
    <w:name w:val="A4"/>
    <w:autoRedefine/>
    <w:qFormat/>
    <w:uiPriority w:val="0"/>
    <w:rPr>
      <w:rFonts w:cs="Boring Boron"/>
      <w:color w:val="F15920"/>
      <w:sz w:val="48"/>
      <w:szCs w:val="48"/>
    </w:rPr>
  </w:style>
  <w:style w:type="character" w:customStyle="1" w:styleId="19">
    <w:name w:val="A5"/>
    <w:autoRedefine/>
    <w:qFormat/>
    <w:uiPriority w:val="0"/>
    <w:rPr>
      <w:rFonts w:ascii="汉仪中黑简" w:eastAsia="汉仪中黑简" w:cs="汉仪中黑简"/>
      <w:color w:val="F15920"/>
      <w:sz w:val="32"/>
      <w:szCs w:val="32"/>
    </w:rPr>
  </w:style>
  <w:style w:type="paragraph" w:customStyle="1" w:styleId="20">
    <w:name w:val="Table Paragraph"/>
    <w:basedOn w:val="1"/>
    <w:autoRedefine/>
    <w:qFormat/>
    <w:uiPriority w:val="1"/>
    <w:pPr>
      <w:autoSpaceDE w:val="0"/>
      <w:autoSpaceDN w:val="0"/>
      <w:spacing w:before="30"/>
      <w:jc w:val="center"/>
    </w:pPr>
    <w:rPr>
      <w:rFonts w:ascii="宋体" w:hAnsi="宋体" w:cs="宋体"/>
      <w:kern w:val="0"/>
      <w:sz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青岛聚创环保</cp:lastModifiedBy>
  <cp:lastPrinted>2019-11-04T03:08:00Z</cp:lastPrinted>
  <dcterms:modified xsi:type="dcterms:W3CDTF">2024-05-15T02:49:13Z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558F09187867460DBD01C77886882EC4</vt:lpwstr>
  </property>
</Properties>
</file>